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6995"/>
      </w:tblGrid>
      <w:tr w:rsidR="00CA0D41" w:rsidRPr="00AF68CD" w:rsidTr="00C514AC">
        <w:trPr>
          <w:jc w:val="right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D26" w:rsidRDefault="001A5244" w:rsidP="00802D26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802D26">
              <w:rPr>
                <w:b/>
                <w:bCs/>
                <w:noProof w:val="0"/>
                <w:lang w:val="ru-RU"/>
              </w:rPr>
              <w:t>Совместное заседание Общемосковского семинара</w:t>
            </w:r>
            <w:r w:rsidR="00C514AC">
              <w:rPr>
                <w:b/>
                <w:bCs/>
                <w:noProof w:val="0"/>
                <w:lang w:val="ru-RU"/>
              </w:rPr>
              <w:t xml:space="preserve"> «Современная геодинамика и </w:t>
            </w:r>
            <w:proofErr w:type="spellStart"/>
            <w:r w:rsidR="00C514AC">
              <w:rPr>
                <w:b/>
                <w:bCs/>
                <w:noProof w:val="0"/>
                <w:lang w:val="ru-RU"/>
              </w:rPr>
              <w:t>геомеханика</w:t>
            </w:r>
            <w:proofErr w:type="spellEnd"/>
            <w:r w:rsidR="00C514AC">
              <w:rPr>
                <w:b/>
                <w:bCs/>
                <w:noProof w:val="0"/>
                <w:lang w:val="ru-RU"/>
              </w:rPr>
              <w:t>»</w:t>
            </w:r>
          </w:p>
          <w:p w:rsidR="001A5244" w:rsidRPr="00802D26" w:rsidRDefault="00802D26" w:rsidP="00802D26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802D26">
              <w:rPr>
                <w:b/>
                <w:bCs/>
                <w:noProof w:val="0"/>
                <w:lang w:val="ru-RU"/>
              </w:rPr>
              <w:t>и</w:t>
            </w:r>
          </w:p>
          <w:p w:rsidR="00CA0D41" w:rsidRDefault="00CA0D41" w:rsidP="009E4194">
            <w:pPr>
              <w:pStyle w:val="Formal1"/>
              <w:jc w:val="center"/>
              <w:rPr>
                <w:noProof w:val="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drawing>
                <wp:inline distT="0" distB="0" distL="0" distR="0" wp14:anchorId="30BCC728" wp14:editId="553104B9">
                  <wp:extent cx="9048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D41" w:rsidRPr="00326F48" w:rsidRDefault="00CA0D41" w:rsidP="009E4194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Проблемн</w:t>
            </w:r>
            <w:r w:rsidR="001A5244">
              <w:rPr>
                <w:b/>
                <w:bCs/>
                <w:noProof w:val="0"/>
                <w:lang w:val="ru-RU"/>
              </w:rPr>
              <w:t>ого</w:t>
            </w:r>
            <w:r w:rsidRPr="00326F48">
              <w:rPr>
                <w:b/>
                <w:bCs/>
                <w:noProof w:val="0"/>
                <w:lang w:val="ru-RU"/>
              </w:rPr>
              <w:t xml:space="preserve"> Совет</w:t>
            </w:r>
            <w:r w:rsidR="001A5244">
              <w:rPr>
                <w:b/>
                <w:bCs/>
                <w:noProof w:val="0"/>
                <w:lang w:val="ru-RU"/>
              </w:rPr>
              <w:t>а</w:t>
            </w:r>
          </w:p>
          <w:p w:rsidR="00CA0D41" w:rsidRPr="00673930" w:rsidRDefault="00CA0D41" w:rsidP="009E4194">
            <w:pPr>
              <w:pStyle w:val="Formal1"/>
              <w:spacing w:before="0" w:after="0" w:line="216" w:lineRule="auto"/>
              <w:jc w:val="center"/>
              <w:rPr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«Сейсмичность Земли, природные и природно-техногенные катастрофы» ИФЗ РАН</w:t>
            </w:r>
          </w:p>
        </w:tc>
        <w:tc>
          <w:tcPr>
            <w:tcW w:w="6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0D41" w:rsidRPr="00673930" w:rsidRDefault="00CA0D41" w:rsidP="009E4194">
            <w:pPr>
              <w:pStyle w:val="Formal1"/>
              <w:spacing w:before="0" w:after="0"/>
              <w:jc w:val="both"/>
              <w:rPr>
                <w:b/>
                <w:bCs/>
                <w:i/>
                <w:iCs/>
                <w:noProof w:val="0"/>
                <w:u w:val="single"/>
                <w:lang w:val="ru-RU"/>
              </w:rPr>
            </w:pPr>
            <w:r w:rsidRPr="00673930">
              <w:rPr>
                <w:b/>
                <w:bCs/>
                <w:i/>
                <w:iCs/>
                <w:noProof w:val="0"/>
                <w:u w:val="single"/>
                <w:lang w:val="ru-RU"/>
              </w:rPr>
              <w:t>Повестка дня: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E0283A" w:rsidRDefault="00C514AC" w:rsidP="009E4194">
            <w:pPr>
              <w:pStyle w:val="Formal1"/>
              <w:spacing w:before="0" w:after="0" w:line="216" w:lineRule="auto"/>
              <w:jc w:val="both"/>
              <w:rPr>
                <w:b/>
                <w:i/>
                <w:lang w:val="ru-RU"/>
              </w:rPr>
            </w:pPr>
            <w:r w:rsidRPr="00C514AC">
              <w:rPr>
                <w:rFonts w:cs="Arial"/>
                <w:b/>
                <w:bCs/>
                <w:u w:val="single"/>
                <w:lang w:val="ru-RU"/>
              </w:rPr>
              <w:t>В.А. Гаврилов</w:t>
            </w:r>
            <w:r w:rsidRPr="00C514AC">
              <w:rPr>
                <w:rFonts w:cs="Arial"/>
                <w:b/>
                <w:bCs/>
                <w:lang w:val="ru-RU"/>
              </w:rPr>
              <w:t>, Ю.Ю. Бусс, Е.В. Полтавцева, Ю.В. Морозова, И.А. Сагарьяров</w:t>
            </w:r>
            <w:r w:rsidRPr="00E0283A">
              <w:rPr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="00E0283A" w:rsidRPr="00E0283A">
              <w:rPr>
                <w:i/>
                <w:color w:val="333333"/>
                <w:shd w:val="clear" w:color="auto" w:fill="FFFFFF"/>
                <w:lang w:val="ru-RU"/>
              </w:rPr>
              <w:t>(</w:t>
            </w:r>
            <w:r w:rsidRPr="00C514AC">
              <w:rPr>
                <w:rFonts w:cs="Arial"/>
                <w:bCs/>
                <w:i/>
                <w:lang w:val="ru-RU"/>
              </w:rPr>
              <w:t>Институт вулканологии и сейсмологии ДВО РАН</w:t>
            </w:r>
            <w:r>
              <w:rPr>
                <w:rFonts w:cs="Arial"/>
                <w:bCs/>
                <w:i/>
                <w:lang w:val="ru-RU"/>
              </w:rPr>
              <w:t>, г. Петропавловск-Камчатский</w:t>
            </w:r>
            <w:r w:rsidR="00E0283A" w:rsidRPr="00E0283A">
              <w:rPr>
                <w:i/>
                <w:color w:val="333333"/>
                <w:shd w:val="clear" w:color="auto" w:fill="FFFFFF"/>
                <w:lang w:val="ru-RU"/>
              </w:rPr>
              <w:t>)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C514AC" w:rsidRDefault="00C514AC" w:rsidP="00714C4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Подходы к краткосрочному прогнозированию сильных землетрясений, опасных для района г. Петропавловска – Камчатского. Прогноз </w:t>
            </w:r>
            <w:proofErr w:type="spellStart"/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Шипунского</w:t>
            </w:r>
            <w:proofErr w:type="spellEnd"/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землетрясения 17.08.2024 г. (</w:t>
            </w: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Mw</w:t>
            </w: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=7.0, </w:t>
            </w: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Re</w:t>
            </w: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=102 км, </w:t>
            </w: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</w:t>
            </w:r>
            <w:r w:rsidRPr="00C51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=29 км)</w:t>
            </w:r>
          </w:p>
          <w:p w:rsidR="00CA0D41" w:rsidRPr="00CA0D41" w:rsidRDefault="00C514AC" w:rsidP="009E4194">
            <w:pPr>
              <w:pStyle w:val="Formal1"/>
              <w:spacing w:before="0" w:after="0" w:line="216" w:lineRule="auto"/>
              <w:jc w:val="both"/>
              <w:rPr>
                <w:bCs/>
                <w:noProof w:val="0"/>
                <w:lang w:val="ru-RU"/>
              </w:rPr>
            </w:pPr>
            <w:r>
              <w:rPr>
                <w:bCs/>
                <w:noProof w:val="0"/>
                <w:lang w:val="ru-RU"/>
              </w:rPr>
              <w:t>2</w:t>
            </w:r>
            <w:r w:rsidR="00ED41BE">
              <w:rPr>
                <w:bCs/>
                <w:noProof w:val="0"/>
                <w:lang w:val="ru-RU"/>
              </w:rPr>
              <w:t>3</w:t>
            </w:r>
            <w:r w:rsidR="00BF56BE" w:rsidRPr="006437CC">
              <w:rPr>
                <w:bCs/>
                <w:noProof w:val="0"/>
                <w:lang w:val="ru-RU"/>
              </w:rPr>
              <w:t xml:space="preserve"> </w:t>
            </w:r>
            <w:r>
              <w:rPr>
                <w:bCs/>
                <w:noProof w:val="0"/>
                <w:lang w:val="ru-RU"/>
              </w:rPr>
              <w:t>мая</w:t>
            </w:r>
            <w:r w:rsidR="00CA0D41" w:rsidRPr="00CA0D41">
              <w:rPr>
                <w:bCs/>
                <w:noProof w:val="0"/>
                <w:lang w:val="ru-RU"/>
              </w:rPr>
              <w:t xml:space="preserve"> 20</w:t>
            </w:r>
            <w:r w:rsidR="00E0283A">
              <w:rPr>
                <w:bCs/>
                <w:noProof w:val="0"/>
                <w:lang w:val="ru-RU"/>
              </w:rPr>
              <w:t>2</w:t>
            </w:r>
            <w:r w:rsidR="006437CC">
              <w:rPr>
                <w:bCs/>
                <w:noProof w:val="0"/>
                <w:lang w:val="ru-RU"/>
              </w:rPr>
              <w:t>5</w:t>
            </w:r>
            <w:r w:rsidR="00CA0D41" w:rsidRPr="00CA0D41">
              <w:rPr>
                <w:bCs/>
                <w:noProof w:val="0"/>
                <w:lang w:val="ru-RU"/>
              </w:rPr>
              <w:t xml:space="preserve"> г. (</w:t>
            </w:r>
            <w:r w:rsidR="00ED41BE">
              <w:rPr>
                <w:bCs/>
                <w:i/>
                <w:noProof w:val="0"/>
                <w:lang w:val="ru-RU"/>
              </w:rPr>
              <w:t>пятница</w:t>
            </w:r>
            <w:bookmarkStart w:id="0" w:name="_GoBack"/>
            <w:bookmarkEnd w:id="0"/>
            <w:r w:rsidR="00CA0D41" w:rsidRPr="00CA0D41">
              <w:rPr>
                <w:bCs/>
                <w:noProof w:val="0"/>
                <w:lang w:val="ru-RU"/>
              </w:rPr>
              <w:t>) в 1</w:t>
            </w:r>
            <w:r>
              <w:rPr>
                <w:bCs/>
                <w:noProof w:val="0"/>
                <w:lang w:val="ru-RU"/>
              </w:rPr>
              <w:t>3</w:t>
            </w:r>
            <w:r w:rsidR="00CA0D41" w:rsidRPr="00CA0D41">
              <w:rPr>
                <w:bCs/>
                <w:noProof w:val="0"/>
                <w:lang w:val="ru-RU"/>
              </w:rPr>
              <w:t>:00, конференц-зал ИФЗ РАН</w:t>
            </w:r>
          </w:p>
          <w:p w:rsidR="00CA0D41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1A5244" w:rsidRDefault="001A5244" w:rsidP="00BF56BE">
            <w:pPr>
              <w:pStyle w:val="Formal1"/>
              <w:spacing w:before="0" w:after="0"/>
              <w:jc w:val="both"/>
              <w:rPr>
                <w:bCs/>
                <w:noProof w:val="0"/>
                <w:lang w:val="ru-RU"/>
              </w:rPr>
            </w:pPr>
            <w:r>
              <w:rPr>
                <w:bCs/>
                <w:noProof w:val="0"/>
                <w:lang w:val="ru-RU"/>
              </w:rPr>
              <w:t>Председатель Семинара</w:t>
            </w:r>
            <w:r>
              <w:rPr>
                <w:bCs/>
                <w:noProof w:val="0"/>
                <w:lang w:val="ru-RU"/>
              </w:rPr>
              <w:tab/>
            </w:r>
            <w:r>
              <w:rPr>
                <w:bCs/>
                <w:noProof w:val="0"/>
                <w:lang w:val="ru-RU"/>
              </w:rPr>
              <w:tab/>
            </w:r>
            <w:r w:rsidRPr="00CA0D41">
              <w:rPr>
                <w:bCs/>
                <w:noProof w:val="0"/>
                <w:lang w:val="ru-RU"/>
              </w:rPr>
              <w:t xml:space="preserve">    д.ф.-м.н. </w:t>
            </w:r>
            <w:r>
              <w:rPr>
                <w:bCs/>
                <w:noProof w:val="0"/>
                <w:lang w:val="ru-RU"/>
              </w:rPr>
              <w:t>Ю.</w:t>
            </w:r>
            <w:r w:rsidR="00C514AC">
              <w:rPr>
                <w:bCs/>
                <w:noProof w:val="0"/>
                <w:lang w:val="ru-RU"/>
              </w:rPr>
              <w:t>О</w:t>
            </w:r>
            <w:r>
              <w:rPr>
                <w:bCs/>
                <w:noProof w:val="0"/>
                <w:lang w:val="ru-RU"/>
              </w:rPr>
              <w:t xml:space="preserve">. </w:t>
            </w:r>
            <w:r w:rsidR="00C514AC">
              <w:rPr>
                <w:bCs/>
                <w:noProof w:val="0"/>
                <w:lang w:val="ru-RU"/>
              </w:rPr>
              <w:t>Кузьмин</w:t>
            </w:r>
          </w:p>
          <w:p w:rsidR="001A5244" w:rsidRPr="00C514AC" w:rsidRDefault="001A5244" w:rsidP="00BF56BE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CE7796" w:rsidRDefault="00CA0D41" w:rsidP="00BF56BE">
            <w:pPr>
              <w:pStyle w:val="Formal1"/>
              <w:spacing w:before="0" w:after="0"/>
              <w:jc w:val="both"/>
              <w:rPr>
                <w:b/>
                <w:bCs/>
                <w:noProof w:val="0"/>
                <w:sz w:val="22"/>
                <w:szCs w:val="22"/>
                <w:lang w:val="ru-RU"/>
              </w:rPr>
            </w:pPr>
            <w:r w:rsidRPr="00CA0D41">
              <w:rPr>
                <w:bCs/>
                <w:noProof w:val="0"/>
                <w:lang w:val="ru-RU"/>
              </w:rPr>
              <w:t>Председатель Совета</w:t>
            </w:r>
            <w:r w:rsidRPr="00CA0D41">
              <w:rPr>
                <w:bCs/>
                <w:noProof w:val="0"/>
                <w:lang w:val="ru-RU"/>
              </w:rPr>
              <w:tab/>
            </w:r>
            <w:r w:rsidRPr="00CA0D41">
              <w:rPr>
                <w:bCs/>
                <w:noProof w:val="0"/>
                <w:lang w:val="ru-RU"/>
              </w:rPr>
              <w:tab/>
              <w:t xml:space="preserve">    д.ф.-м.н. А.Д. Завьялов</w:t>
            </w:r>
          </w:p>
        </w:tc>
      </w:tr>
    </w:tbl>
    <w:p w:rsidR="00CA0D41" w:rsidRPr="00C514AC" w:rsidRDefault="00CA0D41" w:rsidP="00BF56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14AC" w:rsidRDefault="00C514AC" w:rsidP="00BF56BE">
      <w:pPr>
        <w:pStyle w:val="Formal1"/>
        <w:spacing w:before="0" w:after="0" w:line="216" w:lineRule="auto"/>
        <w:jc w:val="center"/>
        <w:rPr>
          <w:rFonts w:cs="Arial"/>
          <w:b/>
          <w:bCs/>
          <w:lang w:val="ru-RU"/>
        </w:rPr>
      </w:pPr>
      <w:r w:rsidRPr="00C514AC">
        <w:rPr>
          <w:rFonts w:cs="Arial"/>
          <w:b/>
          <w:bCs/>
          <w:u w:val="single"/>
          <w:lang w:val="ru-RU"/>
        </w:rPr>
        <w:t>В.А. Гаврилов</w:t>
      </w:r>
      <w:r w:rsidRPr="00C514AC">
        <w:rPr>
          <w:rFonts w:cs="Arial"/>
          <w:b/>
          <w:bCs/>
          <w:lang w:val="ru-RU"/>
        </w:rPr>
        <w:t>, Ю.Ю. Бусс, Е.В. Полтавцева, Ю.В. Морозова, И.А. Сагарьяров</w:t>
      </w:r>
    </w:p>
    <w:p w:rsidR="00BF56BE" w:rsidRPr="00B85F93" w:rsidRDefault="00C514AC" w:rsidP="00BF56BE">
      <w:pPr>
        <w:pStyle w:val="Formal1"/>
        <w:spacing w:before="0" w:after="0" w:line="216" w:lineRule="auto"/>
        <w:jc w:val="center"/>
        <w:rPr>
          <w:b/>
          <w:i/>
          <w:sz w:val="26"/>
          <w:szCs w:val="26"/>
          <w:lang w:val="ru-RU"/>
        </w:rPr>
      </w:pPr>
      <w:r w:rsidRPr="00E0283A">
        <w:rPr>
          <w:i/>
          <w:color w:val="333333"/>
          <w:shd w:val="clear" w:color="auto" w:fill="FFFFFF"/>
          <w:lang w:val="ru-RU"/>
        </w:rPr>
        <w:t>(</w:t>
      </w:r>
      <w:r w:rsidRPr="00C514AC">
        <w:rPr>
          <w:rFonts w:cs="Arial"/>
          <w:bCs/>
          <w:i/>
          <w:lang w:val="ru-RU"/>
        </w:rPr>
        <w:t>Институт вулканологии и сейсмологии ДВО РАН</w:t>
      </w:r>
      <w:r>
        <w:rPr>
          <w:rFonts w:cs="Arial"/>
          <w:bCs/>
          <w:i/>
          <w:lang w:val="ru-RU"/>
        </w:rPr>
        <w:t>, г. Петропавловск-Камчатский</w:t>
      </w:r>
      <w:r w:rsidRPr="00E0283A">
        <w:rPr>
          <w:i/>
          <w:color w:val="333333"/>
          <w:shd w:val="clear" w:color="auto" w:fill="FFFFFF"/>
          <w:lang w:val="ru-RU"/>
        </w:rPr>
        <w:t>)</w:t>
      </w:r>
    </w:p>
    <w:p w:rsidR="00CA0D41" w:rsidRPr="00BF56BE" w:rsidRDefault="00CA0D41" w:rsidP="00BF5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0D41" w:rsidRPr="00B85F93" w:rsidRDefault="00C514AC" w:rsidP="00C51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4AC">
        <w:rPr>
          <w:rFonts w:ascii="Times New Roman" w:hAnsi="Times New Roman" w:cs="Times New Roman"/>
          <w:b/>
          <w:bCs/>
          <w:sz w:val="26"/>
          <w:szCs w:val="26"/>
        </w:rPr>
        <w:t xml:space="preserve">Подходы к краткосрочному прогнозированию сильных землетрясений, опасных для района г. Петропавловска – Камчатского. Прогноз </w:t>
      </w:r>
      <w:proofErr w:type="spellStart"/>
      <w:r w:rsidRPr="00C514AC">
        <w:rPr>
          <w:rFonts w:ascii="Times New Roman" w:hAnsi="Times New Roman" w:cs="Times New Roman"/>
          <w:b/>
          <w:bCs/>
          <w:sz w:val="26"/>
          <w:szCs w:val="26"/>
        </w:rPr>
        <w:t>Шипунского</w:t>
      </w:r>
      <w:proofErr w:type="spellEnd"/>
      <w:r w:rsidRPr="00C514AC">
        <w:rPr>
          <w:rFonts w:ascii="Times New Roman" w:hAnsi="Times New Roman" w:cs="Times New Roman"/>
          <w:b/>
          <w:bCs/>
          <w:sz w:val="26"/>
          <w:szCs w:val="26"/>
        </w:rPr>
        <w:t xml:space="preserve"> землетрясения 17.08.2024 г. (</w:t>
      </w:r>
      <w:r w:rsidRPr="00C514AC">
        <w:rPr>
          <w:rFonts w:ascii="Times New Roman" w:hAnsi="Times New Roman" w:cs="Times New Roman"/>
          <w:b/>
          <w:bCs/>
          <w:sz w:val="26"/>
          <w:szCs w:val="26"/>
          <w:lang w:val="en-US"/>
        </w:rPr>
        <w:t>Mw</w:t>
      </w:r>
      <w:r w:rsidRPr="00C514AC">
        <w:rPr>
          <w:rFonts w:ascii="Times New Roman" w:hAnsi="Times New Roman" w:cs="Times New Roman"/>
          <w:b/>
          <w:bCs/>
          <w:sz w:val="26"/>
          <w:szCs w:val="26"/>
        </w:rPr>
        <w:t xml:space="preserve">=7.0, </w:t>
      </w:r>
      <w:r w:rsidRPr="00C514AC">
        <w:rPr>
          <w:rFonts w:ascii="Times New Roman" w:hAnsi="Times New Roman" w:cs="Times New Roman"/>
          <w:b/>
          <w:bCs/>
          <w:sz w:val="26"/>
          <w:szCs w:val="26"/>
          <w:lang w:val="en-US"/>
        </w:rPr>
        <w:t>Re</w:t>
      </w:r>
      <w:r w:rsidRPr="00C514AC">
        <w:rPr>
          <w:rFonts w:ascii="Times New Roman" w:hAnsi="Times New Roman" w:cs="Times New Roman"/>
          <w:b/>
          <w:bCs/>
          <w:sz w:val="26"/>
          <w:szCs w:val="26"/>
        </w:rPr>
        <w:t xml:space="preserve">=102 км, </w:t>
      </w:r>
      <w:r w:rsidRPr="00C514AC">
        <w:rPr>
          <w:rFonts w:ascii="Times New Roman" w:hAnsi="Times New Roman" w:cs="Times New Roman"/>
          <w:b/>
          <w:bCs/>
          <w:sz w:val="26"/>
          <w:szCs w:val="26"/>
          <w:lang w:val="en-US"/>
        </w:rPr>
        <w:t>H</w:t>
      </w:r>
      <w:r w:rsidRPr="00C514AC">
        <w:rPr>
          <w:rFonts w:ascii="Times New Roman" w:hAnsi="Times New Roman" w:cs="Times New Roman"/>
          <w:b/>
          <w:bCs/>
          <w:sz w:val="26"/>
          <w:szCs w:val="26"/>
        </w:rPr>
        <w:t>=29 км)</w:t>
      </w:r>
    </w:p>
    <w:p w:rsidR="00E0283A" w:rsidRPr="006437CC" w:rsidRDefault="00E0283A" w:rsidP="00BF56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514AC" w:rsidRPr="00C514AC" w:rsidRDefault="00C514AC" w:rsidP="00C514AC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4AC">
        <w:rPr>
          <w:rFonts w:ascii="Times New Roman" w:hAnsi="Times New Roman" w:cs="Times New Roman"/>
          <w:sz w:val="24"/>
          <w:szCs w:val="24"/>
        </w:rPr>
        <w:t xml:space="preserve">Обобщается опыт многолетних исследований на Петропавловск – </w:t>
      </w:r>
      <w:proofErr w:type="gramStart"/>
      <w:r w:rsidRPr="00C514AC">
        <w:rPr>
          <w:rFonts w:ascii="Times New Roman" w:hAnsi="Times New Roman" w:cs="Times New Roman"/>
          <w:sz w:val="24"/>
          <w:szCs w:val="24"/>
        </w:rPr>
        <w:t>Камчатском</w:t>
      </w:r>
      <w:proofErr w:type="gramEnd"/>
      <w:r w:rsidRPr="00C514AC">
        <w:rPr>
          <w:rFonts w:ascii="Times New Roman" w:hAnsi="Times New Roman" w:cs="Times New Roman"/>
          <w:sz w:val="24"/>
          <w:szCs w:val="24"/>
        </w:rPr>
        <w:t xml:space="preserve"> геодинамическом полигоне, связанных с краткосрочным прогнозированием сильных камчатских землетрясений. Поясняются подходы, позволившие сделать ряд оправдавшихся краткосрочных прогнозов сильных камчатских землетрясений, в том числе, краткосрочный прогноз </w:t>
      </w:r>
      <w:proofErr w:type="spellStart"/>
      <w:r w:rsidRPr="00C514AC">
        <w:rPr>
          <w:rFonts w:ascii="Times New Roman" w:hAnsi="Times New Roman" w:cs="Times New Roman"/>
          <w:sz w:val="24"/>
          <w:szCs w:val="24"/>
        </w:rPr>
        <w:t>Шипунского</w:t>
      </w:r>
      <w:proofErr w:type="spellEnd"/>
      <w:r w:rsidRPr="00C514AC">
        <w:rPr>
          <w:rFonts w:ascii="Times New Roman" w:hAnsi="Times New Roman" w:cs="Times New Roman"/>
          <w:sz w:val="24"/>
          <w:szCs w:val="24"/>
        </w:rPr>
        <w:t xml:space="preserve"> землетрясения (17.08.2024 г., </w:t>
      </w:r>
      <w:proofErr w:type="spellStart"/>
      <w:r w:rsidRPr="00C514AC">
        <w:rPr>
          <w:rFonts w:ascii="Times New Roman" w:hAnsi="Times New Roman" w:cs="Times New Roman"/>
          <w:sz w:val="24"/>
          <w:szCs w:val="24"/>
        </w:rPr>
        <w:t>M</w:t>
      </w:r>
      <w:r w:rsidRPr="00C514AC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C514AC">
        <w:rPr>
          <w:rFonts w:ascii="Times New Roman" w:hAnsi="Times New Roman" w:cs="Times New Roman"/>
          <w:sz w:val="24"/>
          <w:szCs w:val="24"/>
        </w:rPr>
        <w:t>=7.0), вызвавшего в г. Петропавловске-Камчатском сотрясения до шести баллов. Основные позиции таких подходов заключаются в следующем.</w:t>
      </w:r>
    </w:p>
    <w:p w:rsidR="00C514AC" w:rsidRPr="00C514AC" w:rsidRDefault="00C514AC" w:rsidP="00C514AC">
      <w:pPr>
        <w:numPr>
          <w:ilvl w:val="0"/>
          <w:numId w:val="1"/>
        </w:numPr>
        <w:tabs>
          <w:tab w:val="clear" w:pos="720"/>
          <w:tab w:val="num" w:pos="0"/>
        </w:tabs>
        <w:spacing w:after="0" w:line="233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4AC">
        <w:rPr>
          <w:rFonts w:ascii="Times New Roman" w:hAnsi="Times New Roman" w:cs="Times New Roman"/>
          <w:b/>
          <w:bCs/>
          <w:sz w:val="24"/>
          <w:szCs w:val="24"/>
        </w:rPr>
        <w:t xml:space="preserve">Краткосрочный прогноз с высокими требованиями к надежности и точности прогнозируемых параметров землетрясения нереален. </w:t>
      </w:r>
      <w:r w:rsidRPr="00C514AC">
        <w:rPr>
          <w:rFonts w:ascii="Times New Roman" w:hAnsi="Times New Roman" w:cs="Times New Roman"/>
          <w:sz w:val="24"/>
          <w:szCs w:val="24"/>
        </w:rPr>
        <w:t xml:space="preserve">Вместе с тем в большинстве случаев для жителей и органов власти сейсмоопасного района достаточна оценка вероятности сильных (выше </w:t>
      </w:r>
      <w:r w:rsidRPr="00C514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514AC">
        <w:rPr>
          <w:rFonts w:ascii="Times New Roman" w:hAnsi="Times New Roman" w:cs="Times New Roman"/>
          <w:sz w:val="24"/>
          <w:szCs w:val="24"/>
        </w:rPr>
        <w:t xml:space="preserve"> </w:t>
      </w:r>
      <w:r w:rsidRPr="00C514AC"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r w:rsidRPr="00C514AC">
        <w:rPr>
          <w:rFonts w:ascii="Times New Roman" w:hAnsi="Times New Roman" w:cs="Times New Roman"/>
          <w:sz w:val="24"/>
          <w:szCs w:val="24"/>
        </w:rPr>
        <w:t xml:space="preserve">) сотрясений на ближайшие дни – недели. Такой </w:t>
      </w:r>
      <w:r w:rsidRPr="00C514AC">
        <w:rPr>
          <w:rFonts w:ascii="Times New Roman" w:hAnsi="Times New Roman" w:cs="Times New Roman"/>
          <w:b/>
          <w:bCs/>
          <w:sz w:val="24"/>
          <w:szCs w:val="24"/>
        </w:rPr>
        <w:t xml:space="preserve">прогноз с </w:t>
      </w:r>
      <w:r w:rsidRPr="00C514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«мягкими» требованиями </w:t>
      </w:r>
      <w:r w:rsidRPr="00C514AC">
        <w:rPr>
          <w:rFonts w:ascii="Times New Roman" w:hAnsi="Times New Roman" w:cs="Times New Roman"/>
          <w:b/>
          <w:bCs/>
          <w:sz w:val="24"/>
          <w:szCs w:val="24"/>
        </w:rPr>
        <w:t xml:space="preserve">к точности и с качественной оценкой вероятности прогнозируемого события реален и, безусловно, необходим. </w:t>
      </w:r>
    </w:p>
    <w:p w:rsidR="00C514AC" w:rsidRPr="00C514AC" w:rsidRDefault="00C514AC" w:rsidP="00C514AC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4A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514AC">
        <w:rPr>
          <w:rFonts w:ascii="Times New Roman" w:hAnsi="Times New Roman" w:cs="Times New Roman"/>
          <w:sz w:val="24"/>
          <w:szCs w:val="24"/>
        </w:rPr>
        <w:t xml:space="preserve">Обоснованное краткосрочное прогнозирование землетрясений невозможно без наличия в контролируемом районе </w:t>
      </w:r>
      <w:r w:rsidRPr="00C514AC">
        <w:rPr>
          <w:rFonts w:ascii="Times New Roman" w:hAnsi="Times New Roman" w:cs="Times New Roman"/>
          <w:b/>
          <w:sz w:val="24"/>
          <w:szCs w:val="24"/>
        </w:rPr>
        <w:t>сети комплексных геофизических наблюдений</w:t>
      </w:r>
      <w:r w:rsidRPr="00C514AC">
        <w:rPr>
          <w:rFonts w:ascii="Times New Roman" w:hAnsi="Times New Roman" w:cs="Times New Roman"/>
          <w:sz w:val="24"/>
          <w:szCs w:val="24"/>
        </w:rPr>
        <w:t xml:space="preserve">, способной обеспечивать непрерывный мониторинг процессов подготовки близких сильных землетрясений. </w:t>
      </w:r>
      <w:proofErr w:type="gramStart"/>
      <w:r w:rsidRPr="00C514AC">
        <w:rPr>
          <w:rFonts w:ascii="Times New Roman" w:hAnsi="Times New Roman" w:cs="Times New Roman"/>
          <w:sz w:val="24"/>
          <w:szCs w:val="24"/>
        </w:rPr>
        <w:t xml:space="preserve">Информационной основой системы средне- и краткосрочного прогнозирования землетрясений, опасных для района г. Петропавловска-Камчатского, созданной к настоящему времени </w:t>
      </w:r>
      <w:proofErr w:type="spellStart"/>
      <w:r w:rsidRPr="00C514AC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Pr="00C514AC">
        <w:rPr>
          <w:rFonts w:ascii="Times New Roman" w:hAnsi="Times New Roman" w:cs="Times New Roman"/>
          <w:sz w:val="24"/>
          <w:szCs w:val="24"/>
        </w:rPr>
        <w:t xml:space="preserve"> ДВО РАН, является сеть </w:t>
      </w:r>
      <w:r w:rsidRPr="00C514AC">
        <w:rPr>
          <w:rFonts w:ascii="Times New Roman" w:hAnsi="Times New Roman" w:cs="Times New Roman"/>
          <w:b/>
          <w:sz w:val="24"/>
          <w:szCs w:val="24"/>
        </w:rPr>
        <w:t>комплексных скважинных измерений</w:t>
      </w:r>
      <w:r w:rsidRPr="00C514AC">
        <w:rPr>
          <w:rFonts w:ascii="Times New Roman" w:hAnsi="Times New Roman" w:cs="Times New Roman"/>
          <w:sz w:val="24"/>
          <w:szCs w:val="24"/>
        </w:rPr>
        <w:t xml:space="preserve">, функционирующая в непрерывном режиме на территории Петропавловск-Камчатского геодинамического полигона с 2000 г. </w:t>
      </w:r>
      <w:r w:rsidRPr="00C514AC">
        <w:rPr>
          <w:rFonts w:ascii="Times New Roman" w:hAnsi="Times New Roman" w:cs="Times New Roman"/>
          <w:b/>
          <w:bCs/>
          <w:iCs/>
          <w:sz w:val="24"/>
          <w:szCs w:val="24"/>
        </w:rPr>
        <w:t>Измерения в глубоких скважинах</w:t>
      </w:r>
      <w:r w:rsidRPr="00C514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514AC">
        <w:rPr>
          <w:rFonts w:ascii="Times New Roman" w:hAnsi="Times New Roman" w:cs="Times New Roman"/>
          <w:sz w:val="24"/>
          <w:szCs w:val="24"/>
        </w:rPr>
        <w:t>позволяют</w:t>
      </w:r>
      <w:r w:rsidRPr="00C514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514AC">
        <w:rPr>
          <w:rFonts w:ascii="Times New Roman" w:hAnsi="Times New Roman" w:cs="Times New Roman"/>
          <w:sz w:val="24"/>
          <w:szCs w:val="24"/>
        </w:rPr>
        <w:t xml:space="preserve">снижать влияние шумов дневной поверхности примерно в 200 раз и проводить измерения непосредственно в </w:t>
      </w:r>
      <w:proofErr w:type="spellStart"/>
      <w:r w:rsidRPr="00C514AC">
        <w:rPr>
          <w:rFonts w:ascii="Times New Roman" w:hAnsi="Times New Roman" w:cs="Times New Roman"/>
          <w:sz w:val="24"/>
          <w:szCs w:val="24"/>
        </w:rPr>
        <w:t>геосреде</w:t>
      </w:r>
      <w:proofErr w:type="spellEnd"/>
      <w:r w:rsidRPr="00C51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4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Комплексность измерений </w:t>
      </w:r>
      <w:r w:rsidRPr="00C514AC">
        <w:rPr>
          <w:rFonts w:ascii="Times New Roman" w:hAnsi="Times New Roman" w:cs="Times New Roman"/>
          <w:sz w:val="24"/>
          <w:szCs w:val="24"/>
        </w:rPr>
        <w:t xml:space="preserve">повышает достоверность получаемых результатов. При необходимости к анализу результатов скважинных измерений, привлекаются также данные других видов измерений, получаемые от сторонних организаций. </w:t>
      </w:r>
    </w:p>
    <w:p w:rsidR="001A5244" w:rsidRPr="00C514AC" w:rsidRDefault="00C514AC" w:rsidP="00C514AC">
      <w:pPr>
        <w:shd w:val="clear" w:color="auto" w:fill="FFFFFF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4A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514AC">
        <w:rPr>
          <w:rFonts w:ascii="Times New Roman" w:hAnsi="Times New Roman" w:cs="Times New Roman"/>
          <w:sz w:val="24"/>
          <w:szCs w:val="24"/>
        </w:rPr>
        <w:t xml:space="preserve">Опираясь только на «предвестники землетрясений» нельзя рассчитывать на надежное краткосрочное прогнозирование землетрясений. Анализ данных сети наблюдений должен проводиться в рамках обоснованно выбранной </w:t>
      </w:r>
      <w:r w:rsidRPr="00C514AC">
        <w:rPr>
          <w:rFonts w:ascii="Times New Roman" w:hAnsi="Times New Roman" w:cs="Times New Roman"/>
          <w:b/>
          <w:bCs/>
          <w:sz w:val="24"/>
          <w:szCs w:val="24"/>
        </w:rPr>
        <w:t>базовой физической модели подготовки землетрясения</w:t>
      </w:r>
      <w:r w:rsidRPr="00C514AC">
        <w:rPr>
          <w:rFonts w:ascii="Times New Roman" w:hAnsi="Times New Roman" w:cs="Times New Roman"/>
          <w:sz w:val="24"/>
          <w:szCs w:val="24"/>
        </w:rPr>
        <w:t xml:space="preserve">. При этом данные мониторинга должны позволять в реальном времени выделять заключительные стадии подготовки землетрясения. Анализ многолетних рядов данных комплексных скважинных измерений позволил сделать вывод, что подготовка сильных камчатских землетрясений соответствует модели консолидации </w:t>
      </w:r>
      <w:proofErr w:type="spellStart"/>
      <w:r w:rsidRPr="00C514AC">
        <w:rPr>
          <w:rFonts w:ascii="Times New Roman" w:hAnsi="Times New Roman" w:cs="Times New Roman"/>
          <w:sz w:val="24"/>
          <w:szCs w:val="24"/>
        </w:rPr>
        <w:t>И.П.Добровольского</w:t>
      </w:r>
      <w:proofErr w:type="spellEnd"/>
      <w:r w:rsidRPr="00C514AC">
        <w:rPr>
          <w:rFonts w:ascii="Times New Roman" w:hAnsi="Times New Roman" w:cs="Times New Roman"/>
          <w:sz w:val="24"/>
          <w:szCs w:val="24"/>
        </w:rPr>
        <w:t xml:space="preserve">. Отметим, что указанная модель известна уже более 40 лет. Она всегда вызывала большой интерес, но считалось, что эта модель носит чисто теоретический характер, поскольку ее основные позиции не находили экспериментального подтверждения в условиях натурных наблюдений. Между тем, результаты, полученные на </w:t>
      </w:r>
      <w:r w:rsidRPr="00C514AC">
        <w:rPr>
          <w:rFonts w:ascii="Times New Roman" w:hAnsi="Times New Roman" w:cs="Times New Roman"/>
          <w:bCs/>
          <w:sz w:val="24"/>
          <w:szCs w:val="24"/>
        </w:rPr>
        <w:t xml:space="preserve">заключительных стадиях подготовки сильных камчатских землетрясений, по мнению авторов, соответствуют основным позициям модели консолидации, что может объясняться использованием для мониторинга изменений напряженно-деформированного состояния </w:t>
      </w:r>
      <w:proofErr w:type="spellStart"/>
      <w:r w:rsidRPr="00C514AC">
        <w:rPr>
          <w:rFonts w:ascii="Times New Roman" w:hAnsi="Times New Roman" w:cs="Times New Roman"/>
          <w:bCs/>
          <w:sz w:val="24"/>
          <w:szCs w:val="24"/>
        </w:rPr>
        <w:t>геосреды</w:t>
      </w:r>
      <w:proofErr w:type="spellEnd"/>
      <w:r w:rsidRPr="00C514AC">
        <w:rPr>
          <w:rFonts w:ascii="Times New Roman" w:hAnsi="Times New Roman" w:cs="Times New Roman"/>
          <w:bCs/>
          <w:sz w:val="24"/>
          <w:szCs w:val="24"/>
        </w:rPr>
        <w:t xml:space="preserve"> новых оригинальных методов, </w:t>
      </w:r>
      <w:r w:rsidRPr="00C514AC">
        <w:rPr>
          <w:rFonts w:ascii="Times New Roman" w:hAnsi="Times New Roman" w:cs="Times New Roman"/>
          <w:sz w:val="24"/>
          <w:szCs w:val="24"/>
        </w:rPr>
        <w:t xml:space="preserve">не имеющих аналогов на других отечественных и зарубежных </w:t>
      </w:r>
      <w:proofErr w:type="spellStart"/>
      <w:r w:rsidRPr="00C514AC">
        <w:rPr>
          <w:rFonts w:ascii="Times New Roman" w:hAnsi="Times New Roman" w:cs="Times New Roman"/>
          <w:sz w:val="24"/>
          <w:szCs w:val="24"/>
        </w:rPr>
        <w:t>сейсмопрогностических</w:t>
      </w:r>
      <w:proofErr w:type="spellEnd"/>
      <w:r w:rsidRPr="00C514AC">
        <w:rPr>
          <w:rFonts w:ascii="Times New Roman" w:hAnsi="Times New Roman" w:cs="Times New Roman"/>
          <w:sz w:val="24"/>
          <w:szCs w:val="24"/>
        </w:rPr>
        <w:t xml:space="preserve"> полигонах.</w:t>
      </w:r>
    </w:p>
    <w:p w:rsidR="00EE450D" w:rsidRPr="00714C48" w:rsidRDefault="00EE450D" w:rsidP="001A52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450D" w:rsidRPr="00714C48" w:rsidSect="00CA0D4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6132"/>
    <w:multiLevelType w:val="hybridMultilevel"/>
    <w:tmpl w:val="1930A73A"/>
    <w:lvl w:ilvl="0" w:tplc="E4623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0C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05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A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43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08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2D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A7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2E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96"/>
    <w:rsid w:val="00151A6C"/>
    <w:rsid w:val="001A5244"/>
    <w:rsid w:val="001B7D29"/>
    <w:rsid w:val="00445FB2"/>
    <w:rsid w:val="005025B6"/>
    <w:rsid w:val="00504A5A"/>
    <w:rsid w:val="005959EC"/>
    <w:rsid w:val="006437CC"/>
    <w:rsid w:val="00714C48"/>
    <w:rsid w:val="00802D26"/>
    <w:rsid w:val="00AA01F9"/>
    <w:rsid w:val="00B85F93"/>
    <w:rsid w:val="00BF56BE"/>
    <w:rsid w:val="00C514AC"/>
    <w:rsid w:val="00CA0D41"/>
    <w:rsid w:val="00E0283A"/>
    <w:rsid w:val="00E31430"/>
    <w:rsid w:val="00EB3796"/>
    <w:rsid w:val="00EC4FCE"/>
    <w:rsid w:val="00ED41BE"/>
    <w:rsid w:val="00EE450D"/>
    <w:rsid w:val="00E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Yeugeny</dc:creator>
  <cp:lastModifiedBy>Alex Zavyalov</cp:lastModifiedBy>
  <cp:revision>4</cp:revision>
  <dcterms:created xsi:type="dcterms:W3CDTF">2025-05-14T13:10:00Z</dcterms:created>
  <dcterms:modified xsi:type="dcterms:W3CDTF">2025-05-16T19:33:00Z</dcterms:modified>
</cp:coreProperties>
</file>